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afterLines="0" w:line="540" w:lineRule="exact"/>
        <w:jc w:val="both"/>
        <w:textAlignment w:val="auto"/>
        <w:rPr>
          <w:rFonts w:hint="eastAsia" w:ascii="方正小标宋简体" w:hAnsi="方正小标宋简体" w:eastAsia="方正小标宋简体" w:cs="方正小标宋简体"/>
          <w:sz w:val="44"/>
          <w:szCs w:val="44"/>
          <w:highlight w:val="none"/>
        </w:rPr>
      </w:pPr>
    </w:p>
    <w:p>
      <w:pPr>
        <w:pStyle w:val="2"/>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湖南</w:t>
      </w:r>
      <w:r>
        <w:rPr>
          <w:rFonts w:hint="eastAsia" w:ascii="方正小标宋简体" w:hAnsi="方正小标宋简体" w:eastAsia="方正小标宋简体" w:cs="方正小标宋简体"/>
          <w:sz w:val="44"/>
          <w:szCs w:val="44"/>
          <w:highlight w:val="none"/>
          <w:lang w:val="en-US" w:eastAsia="zh-CN"/>
        </w:rPr>
        <w:t>医药发展投资</w:t>
      </w:r>
      <w:r>
        <w:rPr>
          <w:rFonts w:hint="eastAsia" w:ascii="方正小标宋简体" w:hAnsi="方正小标宋简体" w:eastAsia="方正小标宋简体" w:cs="方正小标宋简体"/>
          <w:sz w:val="44"/>
          <w:szCs w:val="44"/>
          <w:highlight w:val="none"/>
        </w:rPr>
        <w:t>集团</w:t>
      </w:r>
      <w:r>
        <w:rPr>
          <w:rFonts w:hint="eastAsia" w:ascii="方正小标宋简体" w:hAnsi="方正小标宋简体" w:eastAsia="方正小标宋简体" w:cs="方正小标宋简体"/>
          <w:sz w:val="44"/>
          <w:szCs w:val="44"/>
          <w:highlight w:val="none"/>
          <w:lang w:val="en-US" w:eastAsia="zh-CN"/>
        </w:rPr>
        <w:t>有限公司</w:t>
      </w:r>
    </w:p>
    <w:p>
      <w:pPr>
        <w:pStyle w:val="2"/>
        <w:keepNext w:val="0"/>
        <w:keepLines w:val="0"/>
        <w:pageBreakBefore w:val="0"/>
        <w:widowControl w:val="0"/>
        <w:kinsoku/>
        <w:wordWrap/>
        <w:overflowPunct/>
        <w:topLinePunct w:val="0"/>
        <w:autoSpaceDE/>
        <w:autoSpaceDN/>
        <w:bidi w:val="0"/>
        <w:adjustRightInd/>
        <w:snapToGrid/>
        <w:spacing w:after="0" w:afterLines="0" w:line="54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相关子企业简介</w:t>
      </w:r>
    </w:p>
    <w:p>
      <w:pPr>
        <w:pStyle w:val="2"/>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方正小标宋简体" w:hAnsi="方正小标宋简体" w:eastAsia="方正小标宋简体" w:cs="方正小标宋简体"/>
          <w:b w:val="0"/>
          <w:bCs w:val="0"/>
          <w:sz w:val="32"/>
          <w:szCs w:val="32"/>
          <w:highlight w:val="none"/>
          <w:lang w:val="en-US"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湖南南新制药股份有限公司</w:t>
      </w:r>
    </w:p>
    <w:p>
      <w:pPr>
        <w:keepNext w:val="0"/>
        <w:keepLines w:val="0"/>
        <w:pageBreakBefore w:val="0"/>
        <w:tabs>
          <w:tab w:val="left" w:pos="630"/>
        </w:tabs>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南新制药股份有限公司是湖南医药发展投资集团有限公司控股子公司，成立于2006年，注册资本2.74亿元，2020年登陆科创板（股票代码：688189）。公司专注抗感染、心脑血管及解热镇痛药物研发，拥有16个新药证书、10余项专利，并与军事医学科学院等机构深度合作。持有2张药品生产许可证、4项GMP认证及62个生产批文，下设4家子公司，年产能输液1225万瓶、固体制剂6.5亿片（粒），质量与规模居行业前列。</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湖南健朗药业有限责任公司</w:t>
      </w:r>
    </w:p>
    <w:p>
      <w:pPr>
        <w:keepNext w:val="0"/>
        <w:keepLines w:val="0"/>
        <w:pageBreakBefore w:val="0"/>
        <w:tabs>
          <w:tab w:val="left" w:pos="630"/>
        </w:tabs>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健朗药业有限责任公司是湖南医药发展投资集团有限公司所属子公司。公司注册资本2424.92万元，系国家高新技术企业、专精特新中小企业，拥有发明专利3项、实用新型专利9项、商标8项，其中“健朗、健朗药业”为湖南省知名商标。公司厂房配备3条原料药生产线、3条制剂生产线及1条冻干粉针生产线，核心在产品种包括奥拉西坦胶囊（设计年产量10000万粒）、泮托拉唑钠肠溶胶囊（设计年产量2000万粒）、注射用奥拉西坦和羟甲烟胺片。</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湖南春光九汇现代中药有限公司</w:t>
      </w:r>
    </w:p>
    <w:p>
      <w:pPr>
        <w:keepNext w:val="0"/>
        <w:keepLines w:val="0"/>
        <w:pageBreakBefore w:val="0"/>
        <w:tabs>
          <w:tab w:val="left" w:pos="630"/>
        </w:tabs>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湖南春光九汇现代中药有限公司是湖南医药发展投资集团有限公司控股、</w:t>
      </w:r>
      <w:r>
        <w:rPr>
          <w:rFonts w:hint="default" w:ascii="仿宋_GB2312" w:hAnsi="仿宋_GB2312" w:eastAsia="仿宋_GB2312" w:cs="仿宋_GB2312"/>
          <w:sz w:val="32"/>
          <w:szCs w:val="32"/>
          <w:lang w:val="en-US" w:eastAsia="zh-CN"/>
        </w:rPr>
        <w:t>湖南省中医药研究院参股的一家现代化医药企业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公司以中药研发制造为主业，主营产品有中药配方颗粒、中药超微饮片及成药制剂大健康产品。公司重视科研创新，先后获得15项具有国内领先水平的科研成果及大奖，“中药超微粉体关键技术的研究及产业化”项目获国家科学技术进步二等奖，填补了湖南中药界在国家科技进步奖项的空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公司是湖南省“高新技术企业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、重点上市后备企业、战略性新兴产业百强企业，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专精特新”小巨人企业、省级企业技术中心，湖南省新型研发机构。</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湖南天劲制药有限责任公司</w:t>
      </w:r>
    </w:p>
    <w:p>
      <w:pPr>
        <w:pStyle w:val="2"/>
        <w:keepNext w:val="0"/>
        <w:keepLines w:val="0"/>
        <w:pageBreakBefore w:val="0"/>
        <w:widowControl w:val="0"/>
        <w:kinsoku/>
        <w:wordWrap/>
        <w:overflowPunct/>
        <w:topLinePunct w:val="0"/>
        <w:autoSpaceDE/>
        <w:autoSpaceDN/>
        <w:bidi w:val="0"/>
        <w:adjustRightInd/>
        <w:snapToGrid/>
        <w:spacing w:after="0" w:afterLines="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湖南天劲制药有限责任</w:t>
      </w:r>
      <w:r>
        <w:rPr>
          <w:rFonts w:hint="eastAsia" w:ascii="仿宋_GB2312" w:hAnsi="仿宋_GB2312" w:eastAsia="仿宋_GB2312" w:cs="仿宋_GB2312"/>
          <w:sz w:val="32"/>
          <w:szCs w:val="32"/>
          <w:lang w:val="en-US" w:eastAsia="zh-CN"/>
        </w:rPr>
        <w:t>公司是湖南医药发展投资集团有限公司所属子公司，</w:t>
      </w:r>
      <w:r>
        <w:rPr>
          <w:rFonts w:hint="eastAsia" w:ascii="仿宋_GB2312" w:hAnsi="仿宋_GB2312" w:eastAsia="仿宋_GB2312" w:cs="仿宋_GB2312"/>
          <w:sz w:val="32"/>
          <w:szCs w:val="32"/>
        </w:rPr>
        <w:t>成立于1993年。公司为国家高新技术企业、专精特新“小巨人企业”、省国资委“企业文明标兵单位”、省级企业技术中心，在动物药材提取能力与技术方面具有较强优势，中成药智能化生产处于行业领先水平。主要产品均为动物药材提取和中草药植物提取的综合制剂，系根据仿生学原理，采用现代生物技术和工艺，从动物药材中提取有益成分配以中医经典处方，形成了鲜明的产品特色。</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湖南医药集团有限公司</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sz w:val="32"/>
          <w:szCs w:val="32"/>
          <w:lang w:val="en-US" w:eastAsia="zh-CN"/>
        </w:rPr>
        <w:t>湖南医药集团有限公司是湖南医药发展投资集团有限公司所属子公司，成立于2019年11月，公司注册资本10亿元，业务范围涵盖药品和医疗器械耗材的研发、生产、销售及医药产业投资运营、互联网医药及医疗等。公司是省级医药储备企业、省级公共应急物资承储企业、省级医保直接结算试点单位、省级社会主义核心价值观建设示范点单位，连续被评为中国医疗器械供应链50强企业、全国医药商业百强企业、湖南省生物医药产业重点企业。目前旗下分、子公司20余家，员工800余人。</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湖南医药集团商业发展有限公司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湖南医药集团商业发展有限公司前身为国药控股湖南中医药有限公司，于2025年12月完成股权重组并正式更名。作为响应湖南省医药产业规划的国有企业，公司依托强大的资源整合优势，致力于提供覆盖药品、器械、耗材及中医药的全产业链解决方案。公司拥有超4300平方米的现代化仓库及自动化物流体系，严格执行GSP质量规范，贯彻“质量第一、客户至上”方针，确保从采购到配送的全流程质量可控，为客户提供专业的医药供应链服务。</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default" w:ascii="黑体" w:hAnsi="黑体" w:eastAsia="黑体" w:cs="黑体"/>
          <w:b w:val="0"/>
          <w:bCs w:val="0"/>
          <w:sz w:val="32"/>
          <w:szCs w:val="32"/>
          <w:highlight w:val="none"/>
          <w:lang w:val="en-US" w:eastAsia="zh-CN"/>
        </w:rPr>
        <w:t>湖南医药集团中药材有限公司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湖南医药集团中药材有限公司，作为湖南医药集团全资子公司，依托湖南4667种药用资源禀赋，聚焦“湘九味”道地药材，锚定“湘中药”大健康全产业生态圈战略，以省级收储集散中心为核心，建立“药材基地—溯源检测—产地加工—智能仓储—调拨配送”全链条体系。公司构建“三产融合”产业闭环，打造中药材一二三产业链价值链，一产业布局10个中药材大品种、20个中药材强县、100万亩种植基地及150个网格化种植合作户，夯实道地药材源头根基；二产业打造检测中心、趁鲜加工基地、饮片及药食同源加工厂，实现从药材到产品的品质转化；三产业构建冷链仓储、贸易流通、数字化交易平台、供应链金融及技术服务于一体的全链路产业服务体系，畅通产业循环。</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default" w:ascii="黑体" w:hAnsi="黑体" w:eastAsia="黑体" w:cs="黑体"/>
          <w:b w:val="0"/>
          <w:bCs w:val="0"/>
          <w:sz w:val="32"/>
          <w:szCs w:val="32"/>
          <w:highlight w:val="none"/>
          <w:lang w:val="en-US" w:eastAsia="zh-CN"/>
        </w:rPr>
        <w:t>湖南医药集团采购分公司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湖南医药集团采购分公司是湖南医药旗下专注药械集中采购的核心平台，是集团医药供应链战略布局的关键支撑。公司聚焦“统筹、赋能、利润”三大核心职能，统筹协同药械集中采购、战略产品开发、县域医共体拓展、集采集配项目运营等核心板块，形成全链条、一体化布局，为客户提供一站式采购方案，驱动集团销售显著增长、盈利大幅提升。拥有专业素质过硬、团结协作、执行力强的采购团队，与超过1600家上游供应商战略合作，以标准化流程为支撑，以专业化服务为抓手，深入洞察市场需求，为客户量身定制全方位的采购供应链解决方案。</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default" w:ascii="黑体" w:hAnsi="黑体" w:eastAsia="黑体" w:cs="黑体"/>
          <w:b w:val="0"/>
          <w:bCs w:val="0"/>
          <w:sz w:val="32"/>
          <w:szCs w:val="32"/>
          <w:highlight w:val="none"/>
          <w:lang w:val="en-US" w:eastAsia="zh-CN"/>
        </w:rPr>
        <w:t>湖南医药集团博瑞特生物科技有限公司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湖南医药集团博瑞特生物科技有限公司于2021年6月21日正式揭牌成立，专注于IVD领域，兼具各类医疗器械销售，已建立了完善的医疗设备、试剂销售及售后服务体系，目前作为美国BD微生物全线、美国雅培检验全线产品、美国GE影像及超声、深圳开立影像设备、珠海美华等国内外著名品牌的湖南省一级代理商，销售网络覆盖包括中南大学湘雅医院、湘雅二医院、湘雅三医院、省儿童医院、省妇幼及各地、州、市等300多家合作单位。</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湖南医药集团长沙分公司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医药集团长沙分公司是湖南医药集团有限公司旗下承接本部药械经营业务的分公司，拥有完善的药械经营体系和先进的供应链管理技术。其中药品（含中药饮片）业务涵盖商业调拨、药房连锁、医疗机构配送、项目医院集中配送以及电商平台配送等，同时承担总部对其余区域子公司的集中采购与配送任务。器械业务涵盖医疗设备、耗材打包项目的招标与配送、商业分销、第三方检验检测服务、医疗器械进口等。公司上下游资源丰富，与千余家上游药械生产企业建立深度合作关系，与近 500 家医疗机构及 400 余家商业客户建立长期业务往来，经销网络覆盖全省，能够快速响应市场需求，为客户提供全方位、全链条、专业化的优质服务。</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湖南医药集团常德分公司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kern w:val="2"/>
          <w:sz w:val="32"/>
          <w:szCs w:val="32"/>
          <w:lang w:val="en-US" w:eastAsia="zh-CN" w:bidi="ar-SA"/>
        </w:rPr>
        <w:t>湖南医药集团常德分公司是湖南医药公司集团有限公司专注于常德地区药械领域的经营团队。在药品经营方面，涵盖了广泛的产品线，从传统的中药饮片到现代西药，一应俱全。致力于提供多样化的服务，包括精准的商业调拨、专业的药房连锁运营管理、针对医疗机构的定制化配送方案、项目医院的定点配送服务，以及依托电商平台实现的快速配送体验。在医疗器械业务方面，作为核心竞争力之一，深入参与医疗设备与耗材的招标流程，提供专业配送服务，拓展商业分销渠道，并引入第三方检验检测服务，确保产品质量的可靠性。还涉足医疗器械进口业务，为国内外医疗市场搭建起一座沟通的桥梁。依托广泛的上下游资源网络，与众多药械生产商建立了长期稳定的合作关系，确保了产品的品质与供应的稳定性。</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湖南医药集团株洲分公司</w:t>
      </w:r>
    </w:p>
    <w:p>
      <w:pPr>
        <w:pStyle w:val="2"/>
        <w:rPr>
          <w:rFonts w:hint="default"/>
          <w:lang w:val="en-US" w:eastAsia="zh-CN"/>
        </w:rPr>
      </w:pPr>
      <w:r>
        <w:rPr>
          <w:rFonts w:hint="eastAsia" w:ascii="仿宋_GB2312" w:hAnsi="仿宋_GB2312" w:eastAsia="仿宋_GB2312" w:cs="仿宋_GB2312"/>
          <w:sz w:val="32"/>
          <w:szCs w:val="32"/>
        </w:rPr>
        <w:t>湖南医药集团株洲分公司是湖南医药集团</w:t>
      </w:r>
      <w:r>
        <w:rPr>
          <w:rFonts w:hint="eastAsia" w:ascii="仿宋_GB2312" w:hAnsi="仿宋_GB2312" w:eastAsia="仿宋_GB2312" w:cs="仿宋_GB2312"/>
          <w:sz w:val="32"/>
          <w:szCs w:val="32"/>
          <w:lang w:val="en-US" w:eastAsia="zh-CN"/>
        </w:rPr>
        <w:t>有限公司</w:t>
      </w:r>
      <w:r>
        <w:rPr>
          <w:rFonts w:hint="eastAsia" w:ascii="仿宋_GB2312" w:hAnsi="仿宋_GB2312" w:eastAsia="仿宋_GB2312" w:cs="仿宋_GB2312"/>
          <w:sz w:val="32"/>
          <w:szCs w:val="32"/>
        </w:rPr>
        <w:t>旗下一家专注于株洲市医药配送领域的新兴企业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成立</w:t>
      </w:r>
      <w:r>
        <w:rPr>
          <w:rFonts w:hint="eastAsia" w:ascii="仿宋_GB2312" w:hAnsi="仿宋_GB2312" w:eastAsia="仿宋_GB2312" w:cs="仿宋_GB2312"/>
          <w:sz w:val="32"/>
          <w:szCs w:val="32"/>
        </w:rPr>
        <w:t>于2025年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始终</w:t>
      </w:r>
      <w:r>
        <w:rPr>
          <w:rFonts w:hint="eastAsia" w:ascii="仿宋_GB2312" w:hAnsi="仿宋_GB2312" w:eastAsia="仿宋_GB2312" w:cs="仿宋_GB2312"/>
          <w:sz w:val="32"/>
          <w:szCs w:val="32"/>
          <w:lang w:eastAsia="zh-CN"/>
        </w:rPr>
        <w:t>秉承“</w:t>
      </w:r>
      <w:r>
        <w:rPr>
          <w:rFonts w:hint="eastAsia" w:ascii="仿宋_GB2312" w:hAnsi="仿宋_GB2312" w:eastAsia="仿宋_GB2312" w:cs="仿宋_GB2312"/>
          <w:sz w:val="32"/>
          <w:szCs w:val="32"/>
        </w:rPr>
        <w:t>健康中国，美好生活”的企业使命，致力于构建高效、安全的医药流通渠道，确保各类药品和医疗器械能够及时、准确地送达医疗机构和患者手中。在筹备期间已与多家知名医药生产企业达成合作意向，构建起稳固的上游供应网络。未来将持续深耕医药配送领域，不断提升服务品质，为医药行业发展注入新活力，助力守护大众健康。</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湖南医药集团益阳分公司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湖南医药集团益阳分公司是湖南医药集团</w:t>
      </w:r>
      <w:r>
        <w:rPr>
          <w:rFonts w:hint="eastAsia" w:ascii="仿宋_GB2312" w:hAnsi="仿宋_GB2312" w:eastAsia="仿宋_GB2312" w:cs="仿宋_GB2312"/>
          <w:sz w:val="32"/>
          <w:szCs w:val="32"/>
          <w:lang w:val="en-US" w:eastAsia="zh-CN"/>
        </w:rPr>
        <w:t>有限公司</w:t>
      </w:r>
      <w:r>
        <w:rPr>
          <w:rFonts w:hint="eastAsia" w:ascii="仿宋_GB2312" w:hAnsi="仿宋_GB2312" w:eastAsia="仿宋_GB2312" w:cs="仿宋_GB2312"/>
          <w:sz w:val="32"/>
          <w:szCs w:val="32"/>
        </w:rPr>
        <w:t>旗下的分公司，负责益阳地区的药品器械销售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湖南医药集团益阳分公司坚持以人为本，不断满足客户需求，在益阳市各大公立医疗机构建立了长期稳定的合作</w:t>
      </w:r>
      <w:r>
        <w:rPr>
          <w:rFonts w:hint="eastAsia" w:ascii="仿宋_GB2312" w:hAnsi="仿宋_GB2312" w:eastAsia="仿宋_GB2312" w:cs="仿宋_GB2312"/>
          <w:sz w:val="32"/>
          <w:szCs w:val="32"/>
          <w:lang w:val="en-US" w:eastAsia="zh-CN"/>
        </w:rPr>
        <w:t>关系</w:t>
      </w:r>
      <w:r>
        <w:rPr>
          <w:rFonts w:hint="eastAsia" w:ascii="仿宋_GB2312" w:hAnsi="仿宋_GB2312" w:eastAsia="仿宋_GB2312" w:cs="仿宋_GB2312"/>
          <w:sz w:val="32"/>
          <w:szCs w:val="32"/>
        </w:rPr>
        <w:t>，致力于引进优质的医药产品和先进设备，为市场提供医疗全方位服务、心介线、IVD产品线及泌尿科产品线等。</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湖南医药集团湘潭有限公司</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湖南医药集团湘潭有限公司为湖南医药集团有限公司湘潭地区子公司，成立于2020年8月25日，湘潭公司是一家销售药品、中药、医疗设备和耗材的本土医药流通企业,致力于推进与各大企业、厂家的合资、合作，用产业化发展的思路服务于社会和广大用户，同时兼顾药品市场调拨，定位为湘潭市药品耗材带量采购的物流配送平台。</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湖南医药集团康鑫医疗产业有限公司</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湖南医药集团康鑫医疗产业有限公司，是一家集药品和大型医疗设备于一体的医药配送企业。公司主要经营药品配送、大型医疗设备销售等业务，年销售规模达到一个多亿元。公司践行国企社会责任与担当，积极投身公益事业，在疫情初期由公司领头，员工积极响应，向红十字会捐款捐物用于抗击疫情，获得了湖南省委、省政府的感谢。在一次次的公益活动中，团队的向心力，凝聚力，也得到极大提升。面对新环境，新形势，公司将夯实基础管理、重视团队扩展建设，沿着规划实现可持续性发展目标，致力于将公司打造成医疗行业中肿瘤领域板块的领头羊。</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湖南医药集团岳阳有限公司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湖南医药集团岳阳有限公司成立于2020年9月4日，注册资本3000</w:t>
      </w:r>
      <w:r>
        <w:rPr>
          <w:rFonts w:hint="eastAsia" w:ascii="仿宋_GB2312" w:hAnsi="仿宋_GB2312" w:eastAsia="仿宋_GB2312" w:cs="仿宋_GB2312"/>
          <w:kern w:val="2"/>
          <w:sz w:val="32"/>
          <w:szCs w:val="32"/>
          <w:lang w:val="en-US" w:eastAsia="zh-CN" w:bidi="ar-SA"/>
        </w:rPr>
        <w:t>万元</w:t>
      </w:r>
      <w:r>
        <w:rPr>
          <w:rFonts w:hint="default" w:ascii="仿宋_GB2312" w:hAnsi="仿宋_GB2312" w:eastAsia="仿宋_GB2312" w:cs="仿宋_GB2312"/>
          <w:kern w:val="2"/>
          <w:sz w:val="32"/>
          <w:szCs w:val="32"/>
          <w:lang w:val="en-US" w:eastAsia="zh-CN" w:bidi="ar-SA"/>
        </w:rPr>
        <w:t>，办公面积900平方米，仓库面积4600平方米（其中阴凉库2500平方米，常温库2100平方米，拥有冷库124立方米），现有员工</w:t>
      </w:r>
      <w:r>
        <w:rPr>
          <w:rFonts w:hint="eastAsia" w:ascii="仿宋_GB2312" w:hAnsi="仿宋_GB2312" w:eastAsia="仿宋_GB2312" w:cs="仿宋_GB2312"/>
          <w:kern w:val="2"/>
          <w:sz w:val="32"/>
          <w:szCs w:val="32"/>
          <w:lang w:val="en-US" w:eastAsia="zh-CN" w:bidi="ar-SA"/>
        </w:rPr>
        <w:t>50余人</w:t>
      </w:r>
      <w:bookmarkStart w:id="0" w:name="_GoBack"/>
      <w:bookmarkEnd w:id="0"/>
      <w:r>
        <w:rPr>
          <w:rFonts w:hint="default" w:ascii="仿宋_GB2312" w:hAnsi="仿宋_GB2312" w:eastAsia="仿宋_GB2312" w:cs="仿宋_GB2312"/>
          <w:kern w:val="2"/>
          <w:sz w:val="32"/>
          <w:szCs w:val="32"/>
          <w:lang w:val="en-US" w:eastAsia="zh-CN" w:bidi="ar-SA"/>
        </w:rPr>
        <w:t>，配送网络覆盖岳阳地区各公立医疗机构。</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湖南医发投养老产业有限公司</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湖南医发投养老产业有限公司成立于2025年6月，注册资本10000万元，是湖南省属国有企业湖南医药发展投资集团有限公司全资子公司，是省级国有健康养老产业主平台、主力军和主阵地，肩负着为全省人民提供放心养老服务的重任。公司立足全省养老服务体系建设，以平台化思维整合资源、赋能产业，着力打造全省银发经济运营平台和智慧养老综合服务运营平台。</w:t>
      </w: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688CD"/>
    <w:multiLevelType w:val="singleLevel"/>
    <w:tmpl w:val="BD3688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F3315"/>
    <w:rsid w:val="04C126F5"/>
    <w:rsid w:val="060157BC"/>
    <w:rsid w:val="07C47A3D"/>
    <w:rsid w:val="09C03CE1"/>
    <w:rsid w:val="0A2050A5"/>
    <w:rsid w:val="0B6A4969"/>
    <w:rsid w:val="0CC954FA"/>
    <w:rsid w:val="0E8B686A"/>
    <w:rsid w:val="109E0153"/>
    <w:rsid w:val="10B10986"/>
    <w:rsid w:val="12BD60DB"/>
    <w:rsid w:val="13533D6F"/>
    <w:rsid w:val="16322278"/>
    <w:rsid w:val="168D1217"/>
    <w:rsid w:val="18182D74"/>
    <w:rsid w:val="18610CDC"/>
    <w:rsid w:val="191A35C2"/>
    <w:rsid w:val="19B07BE2"/>
    <w:rsid w:val="1C9A0B0B"/>
    <w:rsid w:val="1E885326"/>
    <w:rsid w:val="1E9B3863"/>
    <w:rsid w:val="20045F15"/>
    <w:rsid w:val="213A62AB"/>
    <w:rsid w:val="223D0F38"/>
    <w:rsid w:val="24191D7B"/>
    <w:rsid w:val="28615D25"/>
    <w:rsid w:val="29776457"/>
    <w:rsid w:val="2B197347"/>
    <w:rsid w:val="316748CE"/>
    <w:rsid w:val="32D71569"/>
    <w:rsid w:val="33DB7A08"/>
    <w:rsid w:val="36CF1672"/>
    <w:rsid w:val="3831210F"/>
    <w:rsid w:val="39BC2320"/>
    <w:rsid w:val="3AB40CFA"/>
    <w:rsid w:val="3CF953F7"/>
    <w:rsid w:val="3E7077BD"/>
    <w:rsid w:val="3F526295"/>
    <w:rsid w:val="407C4056"/>
    <w:rsid w:val="40CD29CF"/>
    <w:rsid w:val="410D2B82"/>
    <w:rsid w:val="419A5937"/>
    <w:rsid w:val="41A520E7"/>
    <w:rsid w:val="41BD759F"/>
    <w:rsid w:val="41FA176B"/>
    <w:rsid w:val="431E281B"/>
    <w:rsid w:val="43AB4F65"/>
    <w:rsid w:val="48CC0660"/>
    <w:rsid w:val="4B395C40"/>
    <w:rsid w:val="4B773D97"/>
    <w:rsid w:val="4BED7B26"/>
    <w:rsid w:val="4CA706C3"/>
    <w:rsid w:val="4D604568"/>
    <w:rsid w:val="4E6F1AF5"/>
    <w:rsid w:val="4FFE6835"/>
    <w:rsid w:val="502245A8"/>
    <w:rsid w:val="50545B68"/>
    <w:rsid w:val="50E13139"/>
    <w:rsid w:val="512872D0"/>
    <w:rsid w:val="51CA3271"/>
    <w:rsid w:val="530B3A24"/>
    <w:rsid w:val="53D84E50"/>
    <w:rsid w:val="550B4FC2"/>
    <w:rsid w:val="56457B5F"/>
    <w:rsid w:val="57F86ED0"/>
    <w:rsid w:val="588D34AE"/>
    <w:rsid w:val="59804BF2"/>
    <w:rsid w:val="59E9054B"/>
    <w:rsid w:val="5A550E5A"/>
    <w:rsid w:val="5AE46A98"/>
    <w:rsid w:val="5C3070E2"/>
    <w:rsid w:val="5C3B1387"/>
    <w:rsid w:val="5D7039E7"/>
    <w:rsid w:val="5E2751A9"/>
    <w:rsid w:val="5ED43904"/>
    <w:rsid w:val="5F484444"/>
    <w:rsid w:val="5F6F3315"/>
    <w:rsid w:val="5FEE4664"/>
    <w:rsid w:val="60576617"/>
    <w:rsid w:val="63AE5106"/>
    <w:rsid w:val="63C51287"/>
    <w:rsid w:val="6511694E"/>
    <w:rsid w:val="672726B6"/>
    <w:rsid w:val="674F3C13"/>
    <w:rsid w:val="68E1689C"/>
    <w:rsid w:val="69005A3F"/>
    <w:rsid w:val="6AF44066"/>
    <w:rsid w:val="6BB51E8D"/>
    <w:rsid w:val="6C341559"/>
    <w:rsid w:val="6CDA625A"/>
    <w:rsid w:val="6D8A61EB"/>
    <w:rsid w:val="6DF81942"/>
    <w:rsid w:val="70E10B40"/>
    <w:rsid w:val="71BA2ACC"/>
    <w:rsid w:val="71D9148D"/>
    <w:rsid w:val="72446065"/>
    <w:rsid w:val="72963D08"/>
    <w:rsid w:val="73E807F8"/>
    <w:rsid w:val="74CA7D25"/>
    <w:rsid w:val="76D6459F"/>
    <w:rsid w:val="76E62DA4"/>
    <w:rsid w:val="778C6AD2"/>
    <w:rsid w:val="77C1782C"/>
    <w:rsid w:val="782529C8"/>
    <w:rsid w:val="7AAC2631"/>
    <w:rsid w:val="7B450DBC"/>
    <w:rsid w:val="7B5F24A2"/>
    <w:rsid w:val="7CEC4BE2"/>
    <w:rsid w:val="7D796C4C"/>
    <w:rsid w:val="7EB674A7"/>
    <w:rsid w:val="7ECB1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afterLines="0" w:afterAutospacing="0"/>
    </w:pPr>
  </w:style>
  <w:style w:type="paragraph" w:styleId="4">
    <w:name w:val="Body Text Indent"/>
    <w:basedOn w:val="1"/>
    <w:next w:val="5"/>
    <w:qFormat/>
    <w:uiPriority w:val="0"/>
    <w:pPr>
      <w:spacing w:line="288" w:lineRule="auto"/>
      <w:ind w:firstLine="520"/>
    </w:pPr>
    <w:rPr>
      <w:rFonts w:ascii="楷体_GB2312" w:eastAsia="楷体_GB2312"/>
      <w:spacing w:val="10"/>
    </w:rPr>
  </w:style>
  <w:style w:type="paragraph" w:styleId="5">
    <w:name w:val="Body Text Indent 2"/>
    <w:basedOn w:val="1"/>
    <w:next w:val="6"/>
    <w:qFormat/>
    <w:uiPriority w:val="0"/>
    <w:pPr>
      <w:spacing w:after="120" w:line="480" w:lineRule="auto"/>
      <w:ind w:left="420" w:leftChars="200"/>
    </w:pPr>
  </w:style>
  <w:style w:type="paragraph" w:customStyle="1" w:styleId="6">
    <w:name w:val="reader-word-layer reader-word-s46-2"/>
    <w:basedOn w:val="1"/>
    <w:next w:val="7"/>
    <w:qFormat/>
    <w:uiPriority w:val="0"/>
    <w:pPr>
      <w:widowControl/>
      <w:spacing w:before="280" w:after="280"/>
    </w:pPr>
    <w:rPr>
      <w:rFonts w:ascii="宋体"/>
      <w:sz w:val="24"/>
    </w:rPr>
  </w:style>
  <w:style w:type="paragraph" w:customStyle="1" w:styleId="7">
    <w:name w:val="xl35"/>
    <w:basedOn w:val="1"/>
    <w:next w:val="1"/>
    <w:qFormat/>
    <w:uiPriority w:val="0"/>
    <w:pPr>
      <w:widowControl/>
      <w:shd w:val="clear" w:color="FFFFFF" w:fill="FFFFFF"/>
      <w:spacing w:before="280" w:after="280"/>
    </w:pPr>
    <w:rPr>
      <w:rFonts w:ascii="Arial Unicode MS" w:eastAsia="Arial Unicode MS"/>
      <w:sz w:val="24"/>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2036</Words>
  <Characters>2090</Characters>
  <Lines>0</Lines>
  <Paragraphs>0</Paragraphs>
  <TotalTime>8</TotalTime>
  <ScaleCrop>false</ScaleCrop>
  <LinksUpToDate>false</LinksUpToDate>
  <CharactersWithSpaces>2092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2025-05-27T07:13:00Z</dcterms:created>
  <dc:creator>冷思</dc:creator>
  <cp:lastModifiedBy>焦阳</cp:lastModifiedBy>
  <cp:lastPrinted>2025-05-28T02:55:00Z</cp:lastPrinted>
  <dcterms:modified xsi:type="dcterms:W3CDTF">2026-02-14T03:00:55Z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EE59DA999B9D476F9EB86C4296A69E33_11</vt:lpwstr>
  </property>
  <property fmtid="{D5CDD505-2E9C-101B-9397-08002B2CF9AE}" pid="4" name="KSOTemplateDocerSaveRecord">
    <vt:lpwstr>eyJoZGlkIjoiNzI2MDM2OTQxMzUxMjRkMWQxYzk3NWQ2MDg1NTFiNGEiLCJ1c2VySWQiOiI1NDQ4NTAyMjMifQ==</vt:lpwstr>
  </property>
</Properties>
</file>