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rFonts w:hint="eastAsia" w:ascii="黑体" w:hAnsi="黑体" w:eastAsia="黑体" w:cs="黑体"/>
          <w:b w:val="0"/>
          <w:bCs/>
          <w:snapToGrid w:val="0"/>
          <w:color w:val="000000" w:themeColor="text1"/>
          <w:sz w:val="32"/>
          <w:szCs w:val="32"/>
          <w:highlight w:val="none"/>
          <w14:textFill>
            <w14:solidFill>
              <w14:schemeClr w14:val="tx1"/>
            </w14:solidFill>
          </w14:textFill>
        </w:rPr>
      </w:pPr>
      <w:r>
        <w:rPr>
          <w:rFonts w:hint="eastAsia" w:ascii="黑体" w:hAnsi="黑体" w:eastAsia="黑体" w:cs="黑体"/>
          <w:b w:val="0"/>
          <w:bCs/>
          <w:snapToGrid w:val="0"/>
          <w:color w:val="000000" w:themeColor="text1"/>
          <w:sz w:val="32"/>
          <w:szCs w:val="32"/>
          <w:highlight w:val="none"/>
          <w14:textFill>
            <w14:solidFill>
              <w14:schemeClr w14:val="tx1"/>
            </w14:solidFill>
          </w14:textFill>
        </w:rPr>
        <w:t>附件1</w:t>
      </w:r>
    </w:p>
    <w:p>
      <w:pPr>
        <w:adjustRightInd w:val="0"/>
        <w:snapToGrid w:val="0"/>
        <w:spacing w:line="360" w:lineRule="auto"/>
        <w:jc w:val="center"/>
        <w:outlineLvl w:val="0"/>
        <w:rPr>
          <w:rFonts w:ascii="仿宋" w:hAnsi="仿宋" w:eastAsia="仿宋" w:cs="Times New Roman"/>
          <w:b/>
          <w:snapToGrid w:val="0"/>
          <w:color w:val="000000" w:themeColor="text1"/>
          <w:sz w:val="32"/>
          <w:szCs w:val="32"/>
          <w:highlight w:val="none"/>
          <w14:textFill>
            <w14:solidFill>
              <w14:schemeClr w14:val="tx1"/>
            </w14:solidFill>
          </w14:textFill>
        </w:rPr>
      </w:pPr>
      <w:r>
        <w:rPr>
          <w:rFonts w:hint="eastAsia" w:ascii="仿宋" w:hAnsi="仿宋" w:eastAsia="仿宋" w:cs="Times New Roman"/>
          <w:b/>
          <w:snapToGrid w:val="0"/>
          <w:color w:val="000000" w:themeColor="text1"/>
          <w:sz w:val="32"/>
          <w:szCs w:val="32"/>
          <w:highlight w:val="none"/>
          <w14:textFill>
            <w14:solidFill>
              <w14:schemeClr w14:val="tx1"/>
            </w14:solidFill>
          </w14:textFill>
        </w:rPr>
        <w:t>常德烟草机械有限责任公司</w:t>
      </w:r>
      <w:r>
        <w:rPr>
          <w:rFonts w:ascii="仿宋" w:hAnsi="仿宋" w:eastAsia="仿宋" w:cs="Times New Roman"/>
          <w:b/>
          <w:snapToGrid w:val="0"/>
          <w:color w:val="000000" w:themeColor="text1"/>
          <w:sz w:val="32"/>
          <w:szCs w:val="32"/>
          <w:highlight w:val="none"/>
          <w14:textFill>
            <w14:solidFill>
              <w14:schemeClr w14:val="tx1"/>
            </w14:solidFill>
          </w14:textFill>
        </w:rPr>
        <w:t>2026年招聘计划表</w:t>
      </w:r>
    </w:p>
    <w:tbl>
      <w:tblPr>
        <w:tblStyle w:val="2"/>
        <w:tblW w:w="9780" w:type="dxa"/>
        <w:jc w:val="center"/>
        <w:tblLayout w:type="autofit"/>
        <w:tblCellMar>
          <w:top w:w="0" w:type="dxa"/>
          <w:left w:w="108" w:type="dxa"/>
          <w:bottom w:w="0" w:type="dxa"/>
          <w:right w:w="108" w:type="dxa"/>
        </w:tblCellMar>
      </w:tblPr>
      <w:tblGrid>
        <w:gridCol w:w="1080"/>
        <w:gridCol w:w="2193"/>
        <w:gridCol w:w="777"/>
        <w:gridCol w:w="3736"/>
        <w:gridCol w:w="1994"/>
      </w:tblGrid>
      <w:tr>
        <w:tblPrEx>
          <w:tblCellMar>
            <w:top w:w="0" w:type="dxa"/>
            <w:left w:w="108" w:type="dxa"/>
            <w:bottom w:w="0" w:type="dxa"/>
            <w:right w:w="108" w:type="dxa"/>
          </w:tblCellMar>
        </w:tblPrEx>
        <w:trPr>
          <w:trHeight w:val="63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类别</w:t>
            </w:r>
          </w:p>
        </w:tc>
        <w:tc>
          <w:tcPr>
            <w:tcW w:w="21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 xml:space="preserve">需求岗位 </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招聘人数</w:t>
            </w:r>
          </w:p>
        </w:tc>
        <w:tc>
          <w:tcPr>
            <w:tcW w:w="37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限报专业</w:t>
            </w:r>
          </w:p>
        </w:tc>
        <w:tc>
          <w:tcPr>
            <w:tcW w:w="1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限报学历</w:t>
            </w:r>
          </w:p>
          <w:p>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（最高学历进行报考）</w:t>
            </w:r>
          </w:p>
        </w:tc>
      </w:tr>
      <w:tr>
        <w:tblPrEx>
          <w:tblCellMar>
            <w:top w:w="0" w:type="dxa"/>
            <w:left w:w="108" w:type="dxa"/>
            <w:bottom w:w="0" w:type="dxa"/>
            <w:right w:w="108" w:type="dxa"/>
          </w:tblCellMar>
        </w:tblPrEx>
        <w:trPr>
          <w:trHeight w:val="78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highlight w:val="none"/>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highlight w:val="none"/>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highlight w:val="none"/>
              </w:rPr>
            </w:pP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highlight w:val="none"/>
              </w:rPr>
            </w:pPr>
            <w:r>
              <w:rPr>
                <w:rFonts w:hint="eastAsia" w:ascii="仿宋" w:hAnsi="仿宋" w:eastAsia="仿宋" w:cs="宋体"/>
                <w:b/>
                <w:bCs/>
                <w:color w:val="000000"/>
                <w:kern w:val="0"/>
                <w:sz w:val="22"/>
                <w:highlight w:val="none"/>
              </w:rPr>
              <w:t>（专业参考湖南省202</w:t>
            </w:r>
            <w:r>
              <w:rPr>
                <w:rFonts w:hint="eastAsia" w:ascii="仿宋" w:hAnsi="仿宋" w:eastAsia="仿宋" w:cs="宋体"/>
                <w:b/>
                <w:bCs/>
                <w:color w:val="000000"/>
                <w:kern w:val="0"/>
                <w:sz w:val="22"/>
                <w:highlight w:val="none"/>
                <w:lang w:val="en-US" w:eastAsia="zh-CN"/>
              </w:rPr>
              <w:t>6</w:t>
            </w:r>
            <w:r>
              <w:rPr>
                <w:rFonts w:hint="eastAsia" w:ascii="仿宋" w:hAnsi="仿宋" w:eastAsia="仿宋" w:cs="宋体"/>
                <w:b/>
                <w:bCs/>
                <w:color w:val="000000"/>
                <w:kern w:val="0"/>
                <w:sz w:val="22"/>
                <w:highlight w:val="none"/>
              </w:rPr>
              <w:t>年考试录用公务员专业指导目录）</w:t>
            </w:r>
          </w:p>
        </w:tc>
        <w:tc>
          <w:tcPr>
            <w:tcW w:w="19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highlight w:val="none"/>
              </w:rPr>
            </w:pPr>
          </w:p>
        </w:tc>
      </w:tr>
      <w:tr>
        <w:tblPrEx>
          <w:tblCellMar>
            <w:top w:w="0" w:type="dxa"/>
            <w:left w:w="108" w:type="dxa"/>
            <w:bottom w:w="0" w:type="dxa"/>
            <w:right w:w="108" w:type="dxa"/>
          </w:tblCellMar>
        </w:tblPrEx>
        <w:trPr>
          <w:trHeight w:val="855"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专业技术类</w:t>
            </w: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产品研发（机械—仿真分析方向）</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机械工程、机械专业</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w:t>
            </w:r>
            <w:bookmarkStart w:id="0" w:name="_GoBack"/>
            <w:bookmarkEnd w:id="0"/>
            <w:r>
              <w:rPr>
                <w:rFonts w:hint="eastAsia" w:ascii="仿宋" w:hAnsi="仿宋" w:eastAsia="仿宋" w:cs="宋体"/>
                <w:color w:val="000000"/>
                <w:kern w:val="0"/>
                <w:sz w:val="22"/>
                <w:highlight w:val="none"/>
              </w:rPr>
              <w:t>及以上</w:t>
            </w:r>
          </w:p>
        </w:tc>
      </w:tr>
      <w:tr>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产品研发（机械—气压传动与控制方向）</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机械工程、机械专业</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产品研发（机械类）</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机械类</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产品研发（电气类）</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3</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电气类、电气工程类</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产品研发（IT类）</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14</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计算机类、电子信息类</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系统分析师</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2</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计算机类、电子信息类</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审计管理</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工程管理、工程造价、工程审计专业</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机加技术</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2</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计算机类、电子信息类、控制科学与工程类</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硕士研究生及以上</w:t>
            </w:r>
          </w:p>
        </w:tc>
      </w:tr>
      <w:tr>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机械维修技术</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建筑环境与能源应用工程专业</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财务管理</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会计、会计学、财务管理、审计、审计学专业</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blPrEx>
          <w:tblCellMar>
            <w:top w:w="0" w:type="dxa"/>
            <w:left w:w="108" w:type="dxa"/>
            <w:bottom w:w="0" w:type="dxa"/>
            <w:right w:w="108" w:type="dxa"/>
          </w:tblCellMar>
        </w:tblPrEx>
        <w:trPr>
          <w:trHeight w:val="855"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生产操作类</w:t>
            </w: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装配电工</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3</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电气类，自动化类、电子信息类、计算机类、电气工程类、控制科学与工程类</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装配钳工</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3</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机械类</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blPrEx>
          <w:tblCellMar>
            <w:top w:w="0" w:type="dxa"/>
            <w:left w:w="108" w:type="dxa"/>
            <w:bottom w:w="0" w:type="dxa"/>
            <w:right w:w="108" w:type="dxa"/>
          </w:tblCellMar>
        </w:tblPrEx>
        <w:trPr>
          <w:trHeight w:val="85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highlight w:val="none"/>
              </w:rPr>
            </w:pP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维修钳工</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highlight w:val="none"/>
              </w:rPr>
            </w:pPr>
            <w:r>
              <w:rPr>
                <w:rFonts w:hint="eastAsia" w:ascii="仿宋" w:hAnsi="仿宋" w:eastAsia="仿宋" w:cs="宋体"/>
                <w:color w:val="auto"/>
                <w:kern w:val="0"/>
                <w:sz w:val="22"/>
                <w:highlight w:val="none"/>
              </w:rPr>
              <w:t>机械类、</w:t>
            </w:r>
            <w:r>
              <w:rPr>
                <w:rFonts w:hint="eastAsia" w:ascii="仿宋" w:hAnsi="仿宋" w:eastAsia="仿宋" w:cs="宋体"/>
                <w:color w:val="auto"/>
                <w:kern w:val="0"/>
                <w:sz w:val="22"/>
                <w:highlight w:val="none"/>
                <w:lang w:val="en-US" w:eastAsia="zh-CN"/>
              </w:rPr>
              <w:t>自动化</w:t>
            </w:r>
            <w:r>
              <w:rPr>
                <w:rFonts w:hint="eastAsia" w:ascii="仿宋" w:hAnsi="仿宋" w:eastAsia="仿宋" w:cs="宋体"/>
                <w:color w:val="auto"/>
                <w:kern w:val="0"/>
                <w:sz w:val="22"/>
                <w:highlight w:val="none"/>
              </w:rPr>
              <w:t>类、</w:t>
            </w:r>
            <w:r>
              <w:rPr>
                <w:rFonts w:hint="eastAsia" w:ascii="仿宋" w:hAnsi="仿宋" w:eastAsia="仿宋" w:cs="宋体"/>
                <w:color w:val="auto"/>
                <w:kern w:val="0"/>
                <w:sz w:val="22"/>
                <w:highlight w:val="none"/>
                <w:lang w:val="en-US" w:eastAsia="zh-CN"/>
              </w:rPr>
              <w:t>控制科学与工程</w:t>
            </w:r>
            <w:r>
              <w:rPr>
                <w:rFonts w:hint="eastAsia" w:ascii="仿宋" w:hAnsi="仿宋" w:eastAsia="仿宋" w:cs="宋体"/>
                <w:color w:val="auto"/>
                <w:kern w:val="0"/>
                <w:sz w:val="22"/>
                <w:highlight w:val="none"/>
              </w:rPr>
              <w:t>类</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rPr>
          <w:trHeight w:val="85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管理类</w:t>
            </w:r>
          </w:p>
        </w:tc>
        <w:tc>
          <w:tcPr>
            <w:tcW w:w="21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人力资源管理</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1</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人力资源管理专业</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本科及以上</w:t>
            </w:r>
          </w:p>
        </w:tc>
      </w:tr>
      <w:tr>
        <w:tblPrEx>
          <w:tblCellMar>
            <w:top w:w="0" w:type="dxa"/>
            <w:left w:w="108" w:type="dxa"/>
            <w:bottom w:w="0" w:type="dxa"/>
            <w:right w:w="108" w:type="dxa"/>
          </w:tblCellMar>
        </w:tblPrEx>
        <w:trPr>
          <w:trHeight w:val="855" w:hRule="atLeast"/>
          <w:jc w:val="center"/>
        </w:trPr>
        <w:tc>
          <w:tcPr>
            <w:tcW w:w="3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合计</w:t>
            </w:r>
          </w:p>
        </w:tc>
        <w:tc>
          <w:tcPr>
            <w:tcW w:w="7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35</w:t>
            </w:r>
          </w:p>
        </w:tc>
        <w:tc>
          <w:tcPr>
            <w:tcW w:w="37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　</w:t>
            </w:r>
          </w:p>
        </w:tc>
        <w:tc>
          <w:tcPr>
            <w:tcW w:w="19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highlight w:val="none"/>
              </w:rPr>
            </w:pPr>
            <w:r>
              <w:rPr>
                <w:rFonts w:hint="eastAsia" w:ascii="仿宋" w:hAnsi="仿宋" w:eastAsia="仿宋" w:cs="宋体"/>
                <w:color w:val="000000"/>
                <w:kern w:val="0"/>
                <w:sz w:val="22"/>
                <w:highlight w:val="none"/>
              </w:rPr>
              <w:t>　</w:t>
            </w:r>
          </w:p>
        </w:tc>
      </w:tr>
      <w:tr>
        <w:tblPrEx>
          <w:tblCellMar>
            <w:top w:w="0" w:type="dxa"/>
            <w:left w:w="108" w:type="dxa"/>
            <w:bottom w:w="0" w:type="dxa"/>
            <w:right w:w="108" w:type="dxa"/>
          </w:tblCellMar>
        </w:tblPrEx>
        <w:trPr>
          <w:trHeight w:val="1395" w:hRule="atLeast"/>
          <w:jc w:val="center"/>
        </w:trPr>
        <w:tc>
          <w:tcPr>
            <w:tcW w:w="9780" w:type="dxa"/>
            <w:gridSpan w:val="5"/>
            <w:tcBorders>
              <w:top w:val="single" w:color="auto" w:sz="4" w:space="0"/>
              <w:left w:val="nil"/>
              <w:bottom w:val="nil"/>
              <w:right w:val="nil"/>
            </w:tcBorders>
            <w:shd w:val="clear" w:color="auto" w:fill="auto"/>
            <w:vAlign w:val="center"/>
          </w:tcPr>
          <w:p>
            <w:pPr>
              <w:widowControl/>
              <w:jc w:val="lef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注：</w:t>
            </w:r>
          </w:p>
          <w:p>
            <w:pPr>
              <w:widowControl/>
              <w:jc w:val="lef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w:t>
            </w:r>
            <w:r>
              <w:rPr>
                <w:rFonts w:ascii="仿宋" w:hAnsi="仿宋" w:eastAsia="仿宋" w:cs="宋体"/>
                <w:color w:val="000000"/>
                <w:kern w:val="0"/>
                <w:sz w:val="24"/>
                <w:szCs w:val="24"/>
                <w:highlight w:val="none"/>
              </w:rPr>
              <w:t>.</w:t>
            </w:r>
            <w:r>
              <w:rPr>
                <w:rFonts w:hint="eastAsia" w:ascii="仿宋" w:hAnsi="仿宋" w:eastAsia="仿宋" w:cs="宋体"/>
                <w:color w:val="000000"/>
                <w:kern w:val="0"/>
                <w:sz w:val="24"/>
                <w:szCs w:val="24"/>
                <w:highlight w:val="none"/>
              </w:rPr>
              <w:t>对于</w:t>
            </w:r>
            <w:r>
              <w:rPr>
                <w:rFonts w:ascii="仿宋" w:hAnsi="仿宋" w:eastAsia="仿宋" w:cs="宋体"/>
                <w:color w:val="000000"/>
                <w:kern w:val="0"/>
                <w:sz w:val="24"/>
                <w:szCs w:val="24"/>
                <w:highlight w:val="none"/>
              </w:rPr>
              <w:t>2026届高校毕业生，应以其即将获得的最高学历进行报考；对于其他人员，均应以其已获得的最高学历进行报考</w:t>
            </w:r>
            <w:r>
              <w:rPr>
                <w:rFonts w:hint="eastAsia" w:ascii="仿宋" w:hAnsi="仿宋" w:eastAsia="仿宋" w:cs="宋体"/>
                <w:color w:val="000000"/>
                <w:kern w:val="0"/>
                <w:sz w:val="24"/>
                <w:szCs w:val="24"/>
                <w:highlight w:val="none"/>
              </w:rPr>
              <w:t>；</w:t>
            </w:r>
          </w:p>
          <w:p>
            <w:pPr>
              <w:widowControl/>
              <w:jc w:val="lef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w:t>
            </w:r>
            <w:r>
              <w:rPr>
                <w:rFonts w:ascii="仿宋" w:hAnsi="仿宋" w:eastAsia="仿宋" w:cs="宋体"/>
                <w:color w:val="000000"/>
                <w:kern w:val="0"/>
                <w:sz w:val="24"/>
                <w:szCs w:val="24"/>
                <w:highlight w:val="none"/>
              </w:rPr>
              <w:t>.</w:t>
            </w:r>
            <w:r>
              <w:rPr>
                <w:rFonts w:hint="eastAsia" w:ascii="仿宋" w:hAnsi="仿宋" w:eastAsia="仿宋" w:cs="宋体"/>
                <w:color w:val="000000"/>
                <w:kern w:val="0"/>
                <w:sz w:val="24"/>
                <w:szCs w:val="24"/>
                <w:highlight w:val="none"/>
              </w:rPr>
              <w:t>由于各类院校专业名称设置不统一、每年新设专业较多，存在部分专业未列入上述专业指导目录的情形，所学专业未列入上述专业指导目录的应聘者是否可以报考相近专业的</w:t>
            </w:r>
            <w:r>
              <w:rPr>
                <w:rFonts w:hint="eastAsia" w:ascii="仿宋" w:hAnsi="仿宋" w:eastAsia="仿宋" w:cs="宋体"/>
                <w:color w:val="000000"/>
                <w:kern w:val="0"/>
                <w:sz w:val="24"/>
                <w:szCs w:val="24"/>
                <w:highlight w:val="none"/>
                <w:lang w:val="en-US" w:eastAsia="zh-CN"/>
              </w:rPr>
              <w:t>岗</w:t>
            </w:r>
            <w:r>
              <w:rPr>
                <w:rFonts w:hint="eastAsia" w:ascii="仿宋" w:hAnsi="仿宋" w:eastAsia="仿宋" w:cs="宋体"/>
                <w:color w:val="000000"/>
                <w:kern w:val="0"/>
                <w:sz w:val="24"/>
                <w:szCs w:val="24"/>
                <w:highlight w:val="none"/>
              </w:rPr>
              <w:t>位，具体由常德烟机公司根据应聘者所学课程进行认定。</w:t>
            </w:r>
          </w:p>
        </w:tc>
      </w:tr>
    </w:tbl>
    <w:p>
      <w:pPr>
        <w:adjustRightInd w:val="0"/>
        <w:snapToGrid w:val="0"/>
        <w:spacing w:line="360" w:lineRule="auto"/>
        <w:outlineLvl w:val="0"/>
        <w:rPr>
          <w:rFonts w:ascii="仿宋" w:hAnsi="仿宋" w:eastAsia="仿宋" w:cs="Times New Roman"/>
          <w:b/>
          <w:snapToGrid w:val="0"/>
          <w:color w:val="000000" w:themeColor="text1"/>
          <w:sz w:val="32"/>
          <w:szCs w:val="32"/>
          <w:highlight w:val="none"/>
          <w14:textFill>
            <w14:solidFill>
              <w14:schemeClr w14:val="tx1"/>
            </w14:solidFill>
          </w14:textFill>
        </w:rPr>
      </w:pPr>
    </w:p>
    <w:p>
      <w:pPr>
        <w:widowControl/>
        <w:jc w:val="lef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565BB"/>
    <w:rsid w:val="2DE565BB"/>
    <w:rsid w:val="48DB76EE"/>
    <w:rsid w:val="62913CAD"/>
    <w:rsid w:val="6AAF8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622</Words>
  <Characters>636</Characters>
  <Lines>0</Lines>
  <Paragraphs>0</Paragraphs>
  <TotalTime>1</TotalTime>
  <ScaleCrop>false</ScaleCrop>
  <LinksUpToDate>false</LinksUpToDate>
  <CharactersWithSpaces>639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2026-01-13T11:17:00Z</dcterms:created>
  <dc:creator>元熹</dc:creator>
  <cp:lastModifiedBy>user</cp:lastModifiedBy>
  <dcterms:modified xsi:type="dcterms:W3CDTF">2026-01-14T14:54:14Z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73EA18F5FF13424A87261301ABA92475_11</vt:lpwstr>
  </property>
  <property fmtid="{D5CDD505-2E9C-101B-9397-08002B2CF9AE}" pid="4" name="KSOTemplateDocerSaveRecord">
    <vt:lpwstr>eyJoZGlkIjoiMjFkMWE0MzQ1YTYxMzVhMDFiMGI4ZThjZjE4NTdkMTciLCJ1c2VySWQiOiI3NDcyNDEyNTUifQ==</vt:lpwstr>
  </property>
</Properties>
</file>